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CDE" w:rsidRPr="00694C17" w:rsidRDefault="00861CDE" w:rsidP="00861CDE">
      <w:pPr>
        <w:tabs>
          <w:tab w:val="left" w:pos="1985"/>
          <w:tab w:val="left" w:pos="7920"/>
        </w:tabs>
        <w:spacing w:after="0" w:line="240" w:lineRule="auto"/>
        <w:jc w:val="both"/>
        <w:rPr>
          <w:rFonts w:ascii="Arial" w:eastAsia="Malgun Gothic" w:hAnsi="Arial" w:cs="Arial"/>
          <w:b/>
          <w:sz w:val="24"/>
          <w:lang w:val="en-GB"/>
        </w:rPr>
      </w:pPr>
      <w:bookmarkStart w:id="0" w:name="_Hlk6897498"/>
      <w:bookmarkStart w:id="1" w:name="_Hlk3548187"/>
      <w:r w:rsidRPr="00861CDE">
        <w:rPr>
          <w:rFonts w:ascii="Arial" w:eastAsia="Malgun Gothic" w:hAnsi="Arial" w:cs="Arial"/>
          <w:b/>
          <w:sz w:val="24"/>
        </w:rPr>
        <w:t>3GPP TSG-RAN WG5 #</w:t>
      </w:r>
      <w:r w:rsidR="00463760">
        <w:rPr>
          <w:rFonts w:ascii="Arial" w:eastAsia="Malgun Gothic" w:hAnsi="Arial" w:cs="Arial"/>
          <w:b/>
          <w:sz w:val="24"/>
        </w:rPr>
        <w:t>9</w:t>
      </w:r>
      <w:r w:rsidR="00A03CA0">
        <w:rPr>
          <w:rFonts w:ascii="Arial" w:eastAsia="Malgun Gothic" w:hAnsi="Arial" w:cs="Arial"/>
          <w:b/>
          <w:sz w:val="24"/>
        </w:rPr>
        <w:t>8</w:t>
      </w:r>
      <w:r w:rsidRPr="00861CDE">
        <w:rPr>
          <w:rFonts w:ascii="Arial" w:eastAsia="Malgun Gothic" w:hAnsi="Arial" w:cs="Arial"/>
          <w:b/>
          <w:sz w:val="24"/>
        </w:rPr>
        <w:tab/>
      </w:r>
      <w:r w:rsidRPr="00861CDE">
        <w:rPr>
          <w:rFonts w:ascii="Arial" w:eastAsia="Malgun Gothic" w:hAnsi="Arial" w:cs="Arial"/>
          <w:b/>
          <w:sz w:val="24"/>
        </w:rPr>
        <w:tab/>
        <w:t>R5-</w:t>
      </w:r>
      <w:r>
        <w:rPr>
          <w:rFonts w:ascii="Arial" w:eastAsia="Malgun Gothic" w:hAnsi="Arial" w:cs="Arial"/>
          <w:b/>
          <w:sz w:val="24"/>
        </w:rPr>
        <w:t>2</w:t>
      </w:r>
      <w:r w:rsidR="00D60A07">
        <w:rPr>
          <w:rFonts w:ascii="Arial" w:eastAsia="Malgun Gothic" w:hAnsi="Arial" w:cs="Arial"/>
          <w:b/>
          <w:sz w:val="24"/>
        </w:rPr>
        <w:t>3</w:t>
      </w:r>
      <w:r w:rsidR="001E68B1">
        <w:rPr>
          <w:rFonts w:ascii="Arial" w:eastAsia="Malgun Gothic" w:hAnsi="Arial" w:cs="Arial"/>
          <w:b/>
          <w:sz w:val="24"/>
        </w:rPr>
        <w:t>0933</w:t>
      </w:r>
      <w:bookmarkStart w:id="2" w:name="_GoBack"/>
      <w:bookmarkEnd w:id="2"/>
      <w:r w:rsidRPr="00861CDE">
        <w:rPr>
          <w:rFonts w:ascii="Arial" w:eastAsia="Malgun Gothic" w:hAnsi="Arial" w:cs="Arial"/>
          <w:b/>
          <w:sz w:val="24"/>
        </w:rPr>
        <w:br/>
      </w:r>
      <w:r w:rsidR="00A03CA0">
        <w:rPr>
          <w:rFonts w:ascii="Arial" w:eastAsia="Malgun Gothic" w:hAnsi="Arial" w:cs="Arial"/>
          <w:b/>
          <w:sz w:val="24"/>
        </w:rPr>
        <w:t>Athens</w:t>
      </w:r>
      <w:r w:rsidR="00463760">
        <w:rPr>
          <w:rFonts w:ascii="Arial" w:eastAsia="Malgun Gothic" w:hAnsi="Arial" w:cs="Arial"/>
          <w:b/>
          <w:sz w:val="24"/>
        </w:rPr>
        <w:t xml:space="preserve">, </w:t>
      </w:r>
      <w:r w:rsidR="00A03CA0">
        <w:rPr>
          <w:rFonts w:ascii="Arial" w:eastAsia="Malgun Gothic" w:hAnsi="Arial" w:cs="Arial"/>
          <w:b/>
          <w:sz w:val="24"/>
        </w:rPr>
        <w:t>Greece</w:t>
      </w:r>
      <w:r w:rsidR="00694C17" w:rsidRPr="00694C17">
        <w:rPr>
          <w:rFonts w:ascii="Arial" w:eastAsia="Malgun Gothic" w:hAnsi="Arial" w:cs="Arial"/>
          <w:b/>
          <w:sz w:val="24"/>
        </w:rPr>
        <w:t xml:space="preserve">, </w:t>
      </w:r>
      <w:r w:rsidR="00A03CA0">
        <w:rPr>
          <w:b/>
          <w:bCs/>
          <w:sz w:val="24"/>
          <w:szCs w:val="24"/>
        </w:rPr>
        <w:t>27</w:t>
      </w:r>
      <w:r w:rsidR="00463760" w:rsidRPr="008B4B56">
        <w:rPr>
          <w:b/>
          <w:bCs/>
          <w:sz w:val="24"/>
          <w:szCs w:val="24"/>
          <w:vertAlign w:val="superscript"/>
        </w:rPr>
        <w:t>th</w:t>
      </w:r>
      <w:r w:rsidR="00463760">
        <w:rPr>
          <w:b/>
          <w:bCs/>
          <w:sz w:val="24"/>
          <w:szCs w:val="24"/>
        </w:rPr>
        <w:t xml:space="preserve"> </w:t>
      </w:r>
      <w:r w:rsidR="00A03CA0">
        <w:rPr>
          <w:b/>
          <w:bCs/>
          <w:sz w:val="24"/>
          <w:szCs w:val="24"/>
        </w:rPr>
        <w:t>February – 3</w:t>
      </w:r>
      <w:r w:rsidR="00A03CA0" w:rsidRPr="00A03CA0">
        <w:rPr>
          <w:b/>
          <w:bCs/>
          <w:sz w:val="24"/>
          <w:szCs w:val="24"/>
          <w:vertAlign w:val="superscript"/>
        </w:rPr>
        <w:t>rd</w:t>
      </w:r>
      <w:r w:rsidR="00A03CA0">
        <w:rPr>
          <w:b/>
          <w:bCs/>
          <w:sz w:val="24"/>
          <w:szCs w:val="24"/>
        </w:rPr>
        <w:t xml:space="preserve"> March</w:t>
      </w:r>
      <w:r w:rsidR="00463760">
        <w:rPr>
          <w:b/>
          <w:bCs/>
          <w:sz w:val="24"/>
          <w:szCs w:val="24"/>
        </w:rPr>
        <w:t xml:space="preserve"> 202</w:t>
      </w:r>
      <w:r w:rsidR="00A03CA0">
        <w:rPr>
          <w:b/>
          <w:bCs/>
          <w:sz w:val="24"/>
          <w:szCs w:val="24"/>
        </w:rPr>
        <w:t>3</w:t>
      </w:r>
    </w:p>
    <w:bookmarkEnd w:id="0"/>
    <w:p w:rsidR="00861CDE" w:rsidRPr="00861CDE" w:rsidRDefault="00861CDE" w:rsidP="00861CDE">
      <w:pPr>
        <w:spacing w:after="180" w:line="240" w:lineRule="auto"/>
        <w:rPr>
          <w:rFonts w:ascii="Arial" w:eastAsia="Malgun Gothic" w:hAnsi="Arial" w:cs="Arial"/>
          <w:b/>
          <w:sz w:val="24"/>
          <w:szCs w:val="24"/>
        </w:rPr>
      </w:pP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094F4E">
        <w:rPr>
          <w:rFonts w:ascii="Arial" w:eastAsia="Malgun Gothic" w:hAnsi="Arial" w:cs="Arial"/>
          <w:sz w:val="24"/>
          <w:szCs w:val="24"/>
          <w:lang w:val="en-GB"/>
        </w:rPr>
        <w:t>5.4.17</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rsidR="00861CDE" w:rsidRPr="004F3092" w:rsidRDefault="00861CDE" w:rsidP="004F3092">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463760" w:rsidRPr="00463760">
        <w:rPr>
          <w:rFonts w:ascii="Arial" w:eastAsia="Malgun Gothic" w:hAnsi="Arial" w:cs="Arial"/>
          <w:sz w:val="24"/>
          <w:szCs w:val="24"/>
          <w:lang w:val="en-GB"/>
        </w:rPr>
        <w:t xml:space="preserve">On the MU </w:t>
      </w:r>
      <w:r w:rsidR="00D60A07">
        <w:rPr>
          <w:rFonts w:ascii="Arial" w:eastAsia="Malgun Gothic" w:hAnsi="Arial" w:cs="Arial"/>
          <w:sz w:val="24"/>
          <w:szCs w:val="24"/>
          <w:lang w:val="en-GB"/>
        </w:rPr>
        <w:t>Threshold for DL AWGN absolute power for RRM FR2 PC1</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Endorsement</w:t>
      </w:r>
    </w:p>
    <w:bookmarkEnd w:id="1"/>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Introduction</w:t>
      </w:r>
    </w:p>
    <w:p w:rsidR="00463760" w:rsidRDefault="00D60A07" w:rsidP="00463760">
      <w:r>
        <w:rPr>
          <w:lang w:val="en-GB"/>
        </w:rPr>
        <w:t>In [2], the value of the measurement uncertainty for the DL AWGN absolute power for PC1 was agreed for IFF and Enhanced IFF setups and added to [1].</w:t>
      </w:r>
      <w:r w:rsidR="00463760">
        <w:t xml:space="preserve"> </w:t>
      </w:r>
    </w:p>
    <w:p w:rsidR="00463760" w:rsidRDefault="00D60A07" w:rsidP="00463760">
      <w:pPr>
        <w:rPr>
          <w:lang w:val="en-GB"/>
        </w:rPr>
      </w:pPr>
      <w:r>
        <w:rPr>
          <w:lang w:val="en-GB"/>
        </w:rPr>
        <w:t>However, the threshold MU was not discussed</w:t>
      </w:r>
      <w:r w:rsidR="00463760">
        <w:rPr>
          <w:lang w:val="en-GB"/>
        </w:rPr>
        <w:t>.</w:t>
      </w:r>
      <w:r>
        <w:rPr>
          <w:lang w:val="en-GB"/>
        </w:rPr>
        <w:t xml:space="preserve"> The threshold MU is needed in order to progress with the TT analyses for RRM FR2 PC1 test cases. Furthermore, some of the values provided in [2] were still in [.], since the corresponding RF tables still contained [.].</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Discussion</w:t>
      </w:r>
    </w:p>
    <w:p w:rsidR="00D60A07" w:rsidRDefault="00981FF9" w:rsidP="00D60A07">
      <w:r>
        <w:t>The values for some of the uncertainty sources (amplifier uncertainties) for the DL AWGN MU for IFF and enhanced IFF are between square brackets. Since the values have been leveraged from RF Reference Sensitivity in B.19, and the MU assessments in B.19 no longer contain [.], the DL AWGN MU analysis for PC1 for RRM FR2 can be updated.</w:t>
      </w:r>
    </w:p>
    <w:p w:rsidR="00981FF9" w:rsidRPr="005B004D" w:rsidRDefault="00981FF9" w:rsidP="00981FF9">
      <w:pPr>
        <w:pStyle w:val="TH"/>
      </w:pPr>
      <w:r w:rsidRPr="005B004D">
        <w:lastRenderedPageBreak/>
        <w:t xml:space="preserve">Table </w:t>
      </w:r>
      <w:r w:rsidRPr="005B004D">
        <w:rPr>
          <w:rFonts w:eastAsia="MS Mincho"/>
          <w:lang w:eastAsia="ja-JP"/>
        </w:rPr>
        <w:t>E.3.1.3-3</w:t>
      </w:r>
      <w:r w:rsidRPr="005B004D">
        <w:t xml:space="preserve">: </w:t>
      </w:r>
      <w:r w:rsidRPr="005B004D">
        <w:rPr>
          <w:lang w:eastAsia="ja-JP"/>
        </w:rPr>
        <w:t>U</w:t>
      </w:r>
      <w:r w:rsidRPr="005B004D">
        <w:t xml:space="preserve">ncertainty assessment for DL AWGN absolute power or wanted DL signal absolute power (f=23.45GHz, 32.125GHz, Quiet Zone size </w:t>
      </w:r>
      <w:r w:rsidRPr="005B004D">
        <w:rPr>
          <w:rFonts w:cs="Arial"/>
        </w:rPr>
        <w:t>≤</w:t>
      </w:r>
      <w:r w:rsidRPr="005B004D">
        <w:t xml:space="preserve"> 30 cm), PC1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UID</w:t>
            </w:r>
          </w:p>
        </w:tc>
        <w:tc>
          <w:tcPr>
            <w:tcW w:w="2949" w:type="dxa"/>
            <w:tcBorders>
              <w:top w:val="single" w:sz="6" w:space="0" w:color="auto"/>
              <w:left w:val="single" w:sz="6" w:space="0" w:color="auto"/>
              <w:bottom w:val="single" w:sz="6" w:space="0" w:color="auto"/>
              <w:right w:val="single" w:sz="6" w:space="0" w:color="auto"/>
            </w:tcBorders>
            <w:hideMark/>
          </w:tcPr>
          <w:p w:rsidR="00981FF9" w:rsidRPr="005B004D" w:rsidRDefault="00981FF9" w:rsidP="0029654D">
            <w:pPr>
              <w:pStyle w:val="TAH"/>
            </w:pPr>
            <w:r w:rsidRPr="005B004D">
              <w:t>Uncertainty source</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Uncertainty value</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 xml:space="preserve">Divisor </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Standard uncertainty (σ) [dB]</w:t>
            </w:r>
          </w:p>
        </w:tc>
      </w:tr>
      <w:tr w:rsidR="00981FF9" w:rsidRPr="005B004D" w:rsidTr="0029654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Stage 2: DUT measurement</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1</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rPr>
                <w:lang w:eastAsia="ja-JP"/>
              </w:rPr>
            </w:pPr>
            <w:r w:rsidRPr="005B004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0.02</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0.01</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2</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rPr>
                <w:sz w:val="21"/>
                <w:lang w:eastAsia="ja-JP"/>
              </w:rPr>
            </w:pPr>
            <w:r w:rsidRPr="005B004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3</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Quality of Quiet Zone (NOTE 4)</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0.6</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0.6</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4</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1.30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1.30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5</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6</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gNB uncertainty on absolute level</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2.9</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1.45</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rPr>
                <w:lang w:eastAsia="ja-JP"/>
              </w:rPr>
              <w:t>7</w:t>
            </w:r>
          </w:p>
        </w:tc>
        <w:tc>
          <w:tcPr>
            <w:tcW w:w="2949"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Phase curvature</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981FF9" w:rsidRDefault="00981FF9" w:rsidP="0029654D">
            <w:pPr>
              <w:pStyle w:val="TAL"/>
              <w:rPr>
                <w:highlight w:val="yellow"/>
                <w:lang w:eastAsia="ja-JP"/>
              </w:rPr>
            </w:pPr>
            <w:r w:rsidRPr="00981FF9">
              <w:rPr>
                <w:highlight w:val="yellow"/>
                <w:lang w:eastAsia="ja-JP"/>
              </w:rPr>
              <w:t>8</w:t>
            </w:r>
          </w:p>
        </w:tc>
        <w:tc>
          <w:tcPr>
            <w:tcW w:w="2949" w:type="dxa"/>
            <w:tcBorders>
              <w:top w:val="single" w:sz="6" w:space="0" w:color="auto"/>
              <w:left w:val="single" w:sz="6" w:space="0" w:color="auto"/>
              <w:bottom w:val="single" w:sz="6" w:space="0" w:color="auto"/>
              <w:right w:val="single" w:sz="6" w:space="0" w:color="auto"/>
            </w:tcBorders>
          </w:tcPr>
          <w:p w:rsidR="00981FF9" w:rsidRPr="00981FF9" w:rsidRDefault="00981FF9" w:rsidP="0029654D">
            <w:pPr>
              <w:pStyle w:val="TAL"/>
              <w:rPr>
                <w:highlight w:val="yellow"/>
              </w:rPr>
            </w:pPr>
            <w:r w:rsidRPr="00981FF9">
              <w:rPr>
                <w:highlight w:val="yellow"/>
              </w:rPr>
              <w:t>Amplifier uncertainties</w:t>
            </w:r>
          </w:p>
        </w:tc>
        <w:tc>
          <w:tcPr>
            <w:tcW w:w="1134" w:type="dxa"/>
            <w:tcBorders>
              <w:top w:val="single" w:sz="6" w:space="0" w:color="auto"/>
              <w:left w:val="single" w:sz="6" w:space="0" w:color="auto"/>
              <w:bottom w:val="single" w:sz="6" w:space="0" w:color="auto"/>
              <w:right w:val="single" w:sz="6" w:space="0" w:color="auto"/>
            </w:tcBorders>
          </w:tcPr>
          <w:p w:rsidR="00981FF9" w:rsidRPr="00981FF9" w:rsidRDefault="00981FF9" w:rsidP="0029654D">
            <w:pPr>
              <w:pStyle w:val="TAC"/>
              <w:rPr>
                <w:highlight w:val="yellow"/>
              </w:rPr>
            </w:pPr>
            <w:r w:rsidRPr="00981FF9">
              <w:rPr>
                <w:highlight w:val="yellow"/>
              </w:rPr>
              <w:t>[2.1]</w:t>
            </w:r>
          </w:p>
        </w:tc>
        <w:tc>
          <w:tcPr>
            <w:tcW w:w="1560" w:type="dxa"/>
            <w:tcBorders>
              <w:top w:val="single" w:sz="6" w:space="0" w:color="auto"/>
              <w:left w:val="single" w:sz="6" w:space="0" w:color="auto"/>
              <w:bottom w:val="single" w:sz="6" w:space="0" w:color="auto"/>
              <w:right w:val="single" w:sz="6" w:space="0" w:color="auto"/>
            </w:tcBorders>
          </w:tcPr>
          <w:p w:rsidR="00981FF9" w:rsidRPr="00981FF9" w:rsidRDefault="00981FF9" w:rsidP="0029654D">
            <w:pPr>
              <w:pStyle w:val="TAC"/>
              <w:rPr>
                <w:highlight w:val="yellow"/>
              </w:rPr>
            </w:pPr>
            <w:r w:rsidRPr="00981FF9">
              <w:rPr>
                <w:highlight w:val="yellow"/>
              </w:rPr>
              <w:t>Normal</w:t>
            </w:r>
          </w:p>
        </w:tc>
        <w:tc>
          <w:tcPr>
            <w:tcW w:w="992" w:type="dxa"/>
            <w:tcBorders>
              <w:top w:val="single" w:sz="6" w:space="0" w:color="auto"/>
              <w:left w:val="single" w:sz="6" w:space="0" w:color="auto"/>
              <w:bottom w:val="single" w:sz="6" w:space="0" w:color="auto"/>
              <w:right w:val="single" w:sz="6" w:space="0" w:color="auto"/>
            </w:tcBorders>
          </w:tcPr>
          <w:p w:rsidR="00981FF9" w:rsidRPr="00981FF9" w:rsidRDefault="00981FF9" w:rsidP="0029654D">
            <w:pPr>
              <w:pStyle w:val="TAC"/>
              <w:rPr>
                <w:highlight w:val="yellow"/>
              </w:rPr>
            </w:pPr>
            <w:r w:rsidRPr="00981FF9">
              <w:rPr>
                <w:highlight w:val="yellow"/>
              </w:rPr>
              <w:t>2.00</w:t>
            </w:r>
          </w:p>
        </w:tc>
        <w:tc>
          <w:tcPr>
            <w:tcW w:w="1210" w:type="dxa"/>
            <w:tcBorders>
              <w:top w:val="single" w:sz="6" w:space="0" w:color="auto"/>
              <w:left w:val="single" w:sz="6" w:space="0" w:color="auto"/>
              <w:bottom w:val="single" w:sz="6" w:space="0" w:color="auto"/>
              <w:right w:val="single" w:sz="6" w:space="0" w:color="auto"/>
            </w:tcBorders>
          </w:tcPr>
          <w:p w:rsidR="00981FF9" w:rsidRPr="00981FF9" w:rsidRDefault="00981FF9" w:rsidP="0029654D">
            <w:pPr>
              <w:pStyle w:val="TAC"/>
              <w:rPr>
                <w:highlight w:val="yellow"/>
              </w:rPr>
            </w:pPr>
            <w:r w:rsidRPr="00981FF9">
              <w:rPr>
                <w:highlight w:val="yellow"/>
              </w:rPr>
              <w:t>[1.05]</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zh-CN"/>
              </w:rPr>
            </w:pPr>
            <w:r w:rsidRPr="005B004D">
              <w:rPr>
                <w:lang w:eastAsia="zh-CN"/>
              </w:rPr>
              <w:t>9</w:t>
            </w:r>
          </w:p>
        </w:tc>
        <w:tc>
          <w:tcPr>
            <w:tcW w:w="2949"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0.50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0.25</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zh-CN"/>
              </w:rPr>
            </w:pPr>
            <w:r w:rsidRPr="005B004D">
              <w:rPr>
                <w:lang w:eastAsia="zh-CN"/>
              </w:rPr>
              <w:t>10</w:t>
            </w:r>
          </w:p>
        </w:tc>
        <w:tc>
          <w:tcPr>
            <w:tcW w:w="2949"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t>Influence of the XPD</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rPr>
                <w:lang w:eastAsia="zh-CN"/>
              </w:rPr>
              <w:t>11</w:t>
            </w:r>
          </w:p>
        </w:tc>
        <w:tc>
          <w:tcPr>
            <w:tcW w:w="2949"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rPr>
                <w:lang w:eastAsia="zh-CN"/>
              </w:rPr>
              <w:t>12</w:t>
            </w:r>
          </w:p>
        </w:tc>
        <w:tc>
          <w:tcPr>
            <w:tcW w:w="2949"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zh-CN"/>
              </w:rPr>
            </w:pPr>
            <w:r w:rsidRPr="005B004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0.15</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0.15</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zh-CN"/>
              </w:rPr>
            </w:pPr>
            <w:r w:rsidRPr="005B004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0.35</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0.20</w:t>
            </w:r>
          </w:p>
        </w:tc>
      </w:tr>
      <w:tr w:rsidR="00981FF9" w:rsidRPr="005B004D" w:rsidTr="0029654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Stage 1: Calibration measurement</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t>15</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t>16</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rPr>
                <w:lang w:eastAsia="ja-JP"/>
              </w:rPr>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t>17</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rPr>
                <w:lang w:eastAsia="ja-JP"/>
              </w:rPr>
            </w:pPr>
            <w:r w:rsidRPr="005B004D">
              <w:t>Misalignment of positioning System</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t>18</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rPr>
                <w:lang w:eastAsia="ja-JP"/>
              </w:rPr>
            </w:pPr>
            <w:r w:rsidRPr="005B004D">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1.50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0.75</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rPr>
                <w:lang w:eastAsia="ja-JP"/>
              </w:rPr>
            </w:pPr>
            <w:r w:rsidRPr="005B004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0.60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0.30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rPr>
                <w:lang w:eastAsia="ja-JP"/>
              </w:rPr>
            </w:pPr>
            <w:r w:rsidRPr="005B004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Del="00842179" w:rsidRDefault="00981FF9" w:rsidP="0029654D">
            <w:pPr>
              <w:pStyle w:val="TAL"/>
              <w:rPr>
                <w:lang w:eastAsia="ja-JP"/>
              </w:rPr>
            </w:pPr>
            <w:r w:rsidRPr="005B004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0.4</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0.4</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Del="00842179" w:rsidRDefault="00981FF9" w:rsidP="0029654D">
            <w:pPr>
              <w:pStyle w:val="TAL"/>
              <w:rPr>
                <w:lang w:eastAsia="ja-JP"/>
              </w:rPr>
            </w:pPr>
            <w:r w:rsidRPr="005B004D">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Del="00842179" w:rsidRDefault="00981FF9" w:rsidP="0029654D">
            <w:pPr>
              <w:pStyle w:val="TAL"/>
              <w:rPr>
                <w:lang w:eastAsia="ja-JP"/>
              </w:rPr>
            </w:pPr>
            <w:r w:rsidRPr="005B004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0.14</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0.07</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rPr>
                <w:lang w:eastAsia="ja-JP"/>
              </w:rPr>
              <w:t>25</w:t>
            </w:r>
          </w:p>
        </w:tc>
        <w:tc>
          <w:tcPr>
            <w:tcW w:w="2949"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Systematic uncertainties (NOTE 2)</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Value</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zh-CN"/>
              </w:rPr>
            </w:pPr>
            <w:r w:rsidRPr="005B004D">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0.7</w:t>
            </w:r>
          </w:p>
        </w:tc>
      </w:tr>
      <w:tr w:rsidR="00981FF9" w:rsidRPr="005B004D" w:rsidTr="0029654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Total measurement uncertainty</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Value</w:t>
            </w:r>
          </w:p>
        </w:tc>
      </w:tr>
      <w:tr w:rsidR="00981FF9" w:rsidRPr="005B004D" w:rsidTr="0029654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rsidR="00981FF9" w:rsidRPr="005B004D" w:rsidRDefault="00981FF9" w:rsidP="0029654D">
            <w:pPr>
              <w:pStyle w:val="TAC"/>
            </w:pPr>
            <w:r w:rsidRPr="005B004D">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981FF9" w:rsidRPr="005B004D" w:rsidRDefault="00981FF9" w:rsidP="0029654D">
            <w:pPr>
              <w:pStyle w:val="TAC"/>
            </w:pPr>
            <w:r w:rsidRPr="005B004D">
              <w:t>[5.58]</w:t>
            </w:r>
          </w:p>
        </w:tc>
      </w:tr>
      <w:tr w:rsidR="00981FF9" w:rsidRPr="005B004D" w:rsidTr="0029654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rsidR="00981FF9" w:rsidRPr="005B004D" w:rsidRDefault="00981FF9" w:rsidP="0029654D">
            <w:pPr>
              <w:pStyle w:val="TAN"/>
            </w:pPr>
            <w:r w:rsidRPr="005B004D">
              <w:t>NOTE 1:</w:t>
            </w:r>
            <w:r w:rsidRPr="005B004D">
              <w:tab/>
              <w:t>The analysis was done only for the case of operating in-band, non-CA.</w:t>
            </w:r>
          </w:p>
          <w:p w:rsidR="00981FF9" w:rsidRPr="005B004D" w:rsidRDefault="00981FF9" w:rsidP="0029654D">
            <w:pPr>
              <w:pStyle w:val="TAN"/>
            </w:pPr>
            <w:r w:rsidRPr="005B004D">
              <w:t>NOTE 2:</w:t>
            </w:r>
            <w:r w:rsidRPr="005B004D">
              <w:tab/>
              <w:t>In order to obtain the total measurement uncertainty, systematic uncertainties have to be added to the expanded root sum square of the standard deviations of the Stage 1 and Stage 2 contributors.</w:t>
            </w:r>
          </w:p>
          <w:p w:rsidR="00981FF9" w:rsidRPr="005B004D" w:rsidRDefault="00981FF9" w:rsidP="0029654D">
            <w:pPr>
              <w:pStyle w:val="TAN"/>
            </w:pPr>
            <w:r w:rsidRPr="005B004D">
              <w:t>NOTE 3:</w:t>
            </w:r>
            <w:r w:rsidRPr="005B004D">
              <w:tab/>
              <w:t>Applies to the system which has a structure of mechanical feed antenna positioning.</w:t>
            </w:r>
          </w:p>
          <w:p w:rsidR="00981FF9" w:rsidRPr="005B004D" w:rsidRDefault="00981FF9" w:rsidP="0029654D">
            <w:pPr>
              <w:pStyle w:val="TAN"/>
            </w:pPr>
            <w:r w:rsidRPr="005B004D">
              <w:t>NOTE 4:</w:t>
            </w:r>
            <w:r w:rsidRPr="005B004D">
              <w:tab/>
              <w:t>Value based on procedure defined in Annex D.2 of TR 38.810 [13] for Quiet Zone size less or equal to 30 cm.</w:t>
            </w:r>
          </w:p>
          <w:p w:rsidR="00981FF9" w:rsidRPr="005B004D" w:rsidRDefault="00981FF9" w:rsidP="0029654D">
            <w:pPr>
              <w:pStyle w:val="TAN"/>
            </w:pPr>
            <w:r w:rsidRPr="005B004D">
              <w:t>NOTE 5:</w:t>
            </w:r>
            <w:r w:rsidRPr="005B004D">
              <w:tab/>
              <w:t>The values in this table have been derived for DL powers above and equal to REFSENS. The values might need to be revisited for power levels below REFSENS</w:t>
            </w:r>
          </w:p>
        </w:tc>
      </w:tr>
    </w:tbl>
    <w:p w:rsidR="00981FF9" w:rsidRDefault="00981FF9" w:rsidP="00D60A07"/>
    <w:p w:rsidR="00981FF9" w:rsidRPr="005B004D" w:rsidRDefault="00981FF9" w:rsidP="00981FF9">
      <w:pPr>
        <w:pStyle w:val="TH"/>
      </w:pPr>
      <w:r w:rsidRPr="005B004D">
        <w:lastRenderedPageBreak/>
        <w:t xml:space="preserve">Table </w:t>
      </w:r>
      <w:r w:rsidRPr="005B004D">
        <w:rPr>
          <w:rFonts w:eastAsia="MS Mincho"/>
          <w:lang w:eastAsia="ja-JP"/>
        </w:rPr>
        <w:t>E.3.1.4-3</w:t>
      </w:r>
      <w:r w:rsidRPr="005B004D">
        <w:t xml:space="preserve">: </w:t>
      </w:r>
      <w:r w:rsidRPr="005B004D">
        <w:rPr>
          <w:lang w:eastAsia="ja-JP"/>
        </w:rPr>
        <w:t>U</w:t>
      </w:r>
      <w:r w:rsidRPr="005B004D">
        <w:t xml:space="preserve">ncertainty assessment for fDL AWGN absolute power or wanted DL signal absolute power (f=23.45GHz, 32.125GHz, Quiet Zone size </w:t>
      </w:r>
      <w:r w:rsidRPr="005B004D">
        <w:rPr>
          <w:rFonts w:cs="Arial"/>
        </w:rPr>
        <w:t>≤</w:t>
      </w:r>
      <w:r w:rsidRPr="005B004D">
        <w:t xml:space="preserve"> 30 cm) for PC1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UID</w:t>
            </w:r>
          </w:p>
        </w:tc>
        <w:tc>
          <w:tcPr>
            <w:tcW w:w="2949" w:type="dxa"/>
            <w:tcBorders>
              <w:top w:val="single" w:sz="6" w:space="0" w:color="auto"/>
              <w:left w:val="single" w:sz="6" w:space="0" w:color="auto"/>
              <w:bottom w:val="single" w:sz="6" w:space="0" w:color="auto"/>
              <w:right w:val="single" w:sz="6" w:space="0" w:color="auto"/>
            </w:tcBorders>
            <w:hideMark/>
          </w:tcPr>
          <w:p w:rsidR="00981FF9" w:rsidRPr="005B004D" w:rsidRDefault="00981FF9" w:rsidP="0029654D">
            <w:pPr>
              <w:pStyle w:val="TAH"/>
            </w:pPr>
            <w:r w:rsidRPr="005B004D">
              <w:t>Uncertainty source</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Uncertainty value</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 xml:space="preserve">Divisor </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Standard uncertainty (σ) [dB]</w:t>
            </w:r>
          </w:p>
        </w:tc>
      </w:tr>
      <w:tr w:rsidR="00981FF9" w:rsidRPr="005B004D" w:rsidTr="0029654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Stage 2: DUT measurement</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1</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rPr>
                <w:lang w:eastAsia="ja-JP"/>
              </w:rPr>
            </w:pPr>
            <w:r w:rsidRPr="005B004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0.02</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0.02</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2</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rPr>
                <w:sz w:val="21"/>
                <w:lang w:eastAsia="ja-JP"/>
              </w:rPr>
            </w:pPr>
            <w:r w:rsidRPr="005B004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3</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Quality of Quiet Zone (NOTE 4)</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0.7</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0.7</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4</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1.30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1.30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5</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6</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gNB uncertainty on absolute level</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2.9</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1.45</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rPr>
                <w:lang w:eastAsia="ja-JP"/>
              </w:rPr>
              <w:t>7</w:t>
            </w:r>
          </w:p>
        </w:tc>
        <w:tc>
          <w:tcPr>
            <w:tcW w:w="2949"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Phase curvature</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981FF9"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981FF9" w:rsidRDefault="00981FF9" w:rsidP="0029654D">
            <w:pPr>
              <w:pStyle w:val="TAL"/>
              <w:rPr>
                <w:highlight w:val="yellow"/>
                <w:lang w:eastAsia="ja-JP"/>
              </w:rPr>
            </w:pPr>
            <w:r w:rsidRPr="00981FF9">
              <w:rPr>
                <w:highlight w:val="yellow"/>
                <w:lang w:eastAsia="ja-JP"/>
              </w:rPr>
              <w:t>8</w:t>
            </w:r>
          </w:p>
        </w:tc>
        <w:tc>
          <w:tcPr>
            <w:tcW w:w="2949" w:type="dxa"/>
            <w:tcBorders>
              <w:top w:val="single" w:sz="6" w:space="0" w:color="auto"/>
              <w:left w:val="single" w:sz="6" w:space="0" w:color="auto"/>
              <w:bottom w:val="single" w:sz="6" w:space="0" w:color="auto"/>
              <w:right w:val="single" w:sz="6" w:space="0" w:color="auto"/>
            </w:tcBorders>
          </w:tcPr>
          <w:p w:rsidR="00981FF9" w:rsidRPr="00981FF9" w:rsidRDefault="00981FF9" w:rsidP="0029654D">
            <w:pPr>
              <w:pStyle w:val="TAL"/>
              <w:rPr>
                <w:highlight w:val="yellow"/>
              </w:rPr>
            </w:pPr>
            <w:r w:rsidRPr="00981FF9">
              <w:rPr>
                <w:highlight w:val="yellow"/>
              </w:rPr>
              <w:t>Amplifier uncertainties</w:t>
            </w:r>
          </w:p>
        </w:tc>
        <w:tc>
          <w:tcPr>
            <w:tcW w:w="1134" w:type="dxa"/>
            <w:tcBorders>
              <w:top w:val="single" w:sz="6" w:space="0" w:color="auto"/>
              <w:left w:val="single" w:sz="6" w:space="0" w:color="auto"/>
              <w:bottom w:val="single" w:sz="6" w:space="0" w:color="auto"/>
              <w:right w:val="single" w:sz="6" w:space="0" w:color="auto"/>
            </w:tcBorders>
          </w:tcPr>
          <w:p w:rsidR="00981FF9" w:rsidRPr="00981FF9" w:rsidRDefault="00981FF9" w:rsidP="0029654D">
            <w:pPr>
              <w:pStyle w:val="TAC"/>
              <w:rPr>
                <w:highlight w:val="yellow"/>
              </w:rPr>
            </w:pPr>
            <w:r w:rsidRPr="00981FF9">
              <w:rPr>
                <w:highlight w:val="yellow"/>
              </w:rPr>
              <w:t>[2.1]</w:t>
            </w:r>
          </w:p>
        </w:tc>
        <w:tc>
          <w:tcPr>
            <w:tcW w:w="1560" w:type="dxa"/>
            <w:tcBorders>
              <w:top w:val="single" w:sz="6" w:space="0" w:color="auto"/>
              <w:left w:val="single" w:sz="6" w:space="0" w:color="auto"/>
              <w:bottom w:val="single" w:sz="6" w:space="0" w:color="auto"/>
              <w:right w:val="single" w:sz="6" w:space="0" w:color="auto"/>
            </w:tcBorders>
          </w:tcPr>
          <w:p w:rsidR="00981FF9" w:rsidRPr="00981FF9" w:rsidRDefault="00981FF9" w:rsidP="0029654D">
            <w:pPr>
              <w:pStyle w:val="TAC"/>
              <w:rPr>
                <w:highlight w:val="yellow"/>
              </w:rPr>
            </w:pPr>
            <w:r w:rsidRPr="00981FF9">
              <w:rPr>
                <w:highlight w:val="yellow"/>
              </w:rPr>
              <w:t>Normal</w:t>
            </w:r>
          </w:p>
        </w:tc>
        <w:tc>
          <w:tcPr>
            <w:tcW w:w="992" w:type="dxa"/>
            <w:tcBorders>
              <w:top w:val="single" w:sz="6" w:space="0" w:color="auto"/>
              <w:left w:val="single" w:sz="6" w:space="0" w:color="auto"/>
              <w:bottom w:val="single" w:sz="6" w:space="0" w:color="auto"/>
              <w:right w:val="single" w:sz="6" w:space="0" w:color="auto"/>
            </w:tcBorders>
          </w:tcPr>
          <w:p w:rsidR="00981FF9" w:rsidRPr="00981FF9" w:rsidRDefault="00981FF9" w:rsidP="0029654D">
            <w:pPr>
              <w:pStyle w:val="TAC"/>
              <w:rPr>
                <w:highlight w:val="yellow"/>
              </w:rPr>
            </w:pPr>
            <w:r w:rsidRPr="00981FF9">
              <w:rPr>
                <w:highlight w:val="yellow"/>
              </w:rPr>
              <w:t>2.00</w:t>
            </w:r>
          </w:p>
        </w:tc>
        <w:tc>
          <w:tcPr>
            <w:tcW w:w="1210" w:type="dxa"/>
            <w:tcBorders>
              <w:top w:val="single" w:sz="6" w:space="0" w:color="auto"/>
              <w:left w:val="single" w:sz="6" w:space="0" w:color="auto"/>
              <w:bottom w:val="single" w:sz="6" w:space="0" w:color="auto"/>
              <w:right w:val="single" w:sz="6" w:space="0" w:color="auto"/>
            </w:tcBorders>
          </w:tcPr>
          <w:p w:rsidR="00981FF9" w:rsidRPr="00981FF9" w:rsidRDefault="00981FF9" w:rsidP="0029654D">
            <w:pPr>
              <w:pStyle w:val="TAC"/>
              <w:rPr>
                <w:highlight w:val="yellow"/>
              </w:rPr>
            </w:pPr>
            <w:r w:rsidRPr="00981FF9">
              <w:rPr>
                <w:highlight w:val="yellow"/>
              </w:rPr>
              <w:t>[1.05]</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zh-CN"/>
              </w:rPr>
            </w:pPr>
            <w:r w:rsidRPr="005B004D">
              <w:rPr>
                <w:lang w:eastAsia="zh-CN"/>
              </w:rPr>
              <w:t>9</w:t>
            </w:r>
          </w:p>
        </w:tc>
        <w:tc>
          <w:tcPr>
            <w:tcW w:w="2949"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t>Random uncertainty</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0.50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0.25</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zh-CN"/>
              </w:rPr>
            </w:pPr>
            <w:r w:rsidRPr="005B004D">
              <w:rPr>
                <w:lang w:eastAsia="zh-CN"/>
              </w:rPr>
              <w:t>10</w:t>
            </w:r>
          </w:p>
        </w:tc>
        <w:tc>
          <w:tcPr>
            <w:tcW w:w="2949"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t>Influence of the XPD</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rPr>
                <w:lang w:eastAsia="zh-CN"/>
              </w:rPr>
              <w:t>11</w:t>
            </w:r>
          </w:p>
        </w:tc>
        <w:tc>
          <w:tcPr>
            <w:tcW w:w="2949"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rPr>
                <w:lang w:eastAsia="zh-CN"/>
              </w:rPr>
              <w:t>12</w:t>
            </w:r>
          </w:p>
        </w:tc>
        <w:tc>
          <w:tcPr>
            <w:tcW w:w="2949"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zh-CN"/>
              </w:rPr>
            </w:pPr>
            <w:r w:rsidRPr="005B004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0.15</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0.15</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zh-CN"/>
              </w:rPr>
            </w:pPr>
            <w:r w:rsidRPr="005B004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0.35</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0.20</w:t>
            </w:r>
          </w:p>
        </w:tc>
      </w:tr>
      <w:tr w:rsidR="00981FF9" w:rsidRPr="005B004D" w:rsidTr="0029654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Stage 1: Calibration measurement</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t>17</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 xml:space="preserve">Mismatch </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t>18</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rPr>
                <w:lang w:eastAsia="ja-JP"/>
              </w:rPr>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t>19</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rPr>
                <w:lang w:eastAsia="ja-JP"/>
              </w:rPr>
            </w:pPr>
            <w:r w:rsidRPr="005B004D">
              <w:t>Misalignment of positioning System</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t>20</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rPr>
                <w:lang w:eastAsia="ja-JP"/>
              </w:rPr>
            </w:pPr>
            <w:r w:rsidRPr="005B004D">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1.50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0.75</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rPr>
                <w:lang w:eastAsia="ja-JP"/>
              </w:rPr>
            </w:pPr>
            <w:r w:rsidRPr="005B004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0.60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0.30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rPr>
                <w:lang w:eastAsia="ja-JP"/>
              </w:rPr>
            </w:pPr>
            <w:r w:rsidRPr="005B004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ja-JP"/>
              </w:rPr>
            </w:pPr>
            <w:r w:rsidRPr="005B004D">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Del="00842179" w:rsidRDefault="00981FF9" w:rsidP="0029654D">
            <w:pPr>
              <w:pStyle w:val="TAL"/>
              <w:rPr>
                <w:lang w:eastAsia="ja-JP"/>
              </w:rPr>
            </w:pPr>
            <w:r w:rsidRPr="005B004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0.4</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0.4</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Del="00842179" w:rsidRDefault="00981FF9" w:rsidP="0029654D">
            <w:pPr>
              <w:pStyle w:val="TAL"/>
              <w:rPr>
                <w:lang w:eastAsia="ja-JP"/>
              </w:rPr>
            </w:pPr>
            <w:r w:rsidRPr="005B004D">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Del="00842179" w:rsidRDefault="00981FF9" w:rsidP="0029654D">
            <w:pPr>
              <w:pStyle w:val="TAL"/>
              <w:rPr>
                <w:lang w:eastAsia="ja-JP"/>
              </w:rPr>
            </w:pPr>
            <w:r w:rsidRPr="005B004D">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0.14</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0.07</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rPr>
                <w:lang w:eastAsia="ja-JP"/>
              </w:rPr>
              <w:t>27</w:t>
            </w:r>
          </w:p>
        </w:tc>
        <w:tc>
          <w:tcPr>
            <w:tcW w:w="2949"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0.00</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Systematic uncertainties (NOTE 2)</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Value</w:t>
            </w:r>
          </w:p>
        </w:tc>
      </w:tr>
      <w:tr w:rsidR="00981FF9" w:rsidRPr="005B004D" w:rsidTr="0029654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L"/>
              <w:rPr>
                <w:lang w:eastAsia="zh-CN"/>
              </w:rPr>
            </w:pPr>
            <w:r w:rsidRPr="005B004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rsidR="00981FF9" w:rsidRPr="005B004D" w:rsidRDefault="00981FF9" w:rsidP="0029654D">
            <w:pPr>
              <w:pStyle w:val="TAL"/>
            </w:pPr>
            <w:r w:rsidRPr="005B004D">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C"/>
            </w:pPr>
            <w:r w:rsidRPr="005B004D">
              <w:t>0.7</w:t>
            </w:r>
          </w:p>
        </w:tc>
      </w:tr>
      <w:tr w:rsidR="00981FF9" w:rsidRPr="005B004D" w:rsidTr="0029654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Total measurement uncertainty</w:t>
            </w:r>
          </w:p>
        </w:tc>
        <w:tc>
          <w:tcPr>
            <w:tcW w:w="1210" w:type="dxa"/>
            <w:tcBorders>
              <w:top w:val="single" w:sz="6" w:space="0" w:color="auto"/>
              <w:left w:val="single" w:sz="6" w:space="0" w:color="auto"/>
              <w:bottom w:val="single" w:sz="6" w:space="0" w:color="auto"/>
              <w:right w:val="single" w:sz="6" w:space="0" w:color="auto"/>
            </w:tcBorders>
          </w:tcPr>
          <w:p w:rsidR="00981FF9" w:rsidRPr="005B004D" w:rsidRDefault="00981FF9" w:rsidP="0029654D">
            <w:pPr>
              <w:pStyle w:val="TAH"/>
            </w:pPr>
            <w:r w:rsidRPr="005B004D">
              <w:t>Value</w:t>
            </w:r>
          </w:p>
        </w:tc>
      </w:tr>
      <w:tr w:rsidR="00981FF9" w:rsidRPr="005B004D" w:rsidTr="0029654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rsidR="00981FF9" w:rsidRPr="005B004D" w:rsidRDefault="00981FF9" w:rsidP="0029654D">
            <w:pPr>
              <w:pStyle w:val="TAC"/>
            </w:pPr>
            <w:r w:rsidRPr="005B004D">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981FF9" w:rsidRPr="005B004D" w:rsidRDefault="00981FF9" w:rsidP="0029654D">
            <w:pPr>
              <w:pStyle w:val="TAC"/>
            </w:pPr>
            <w:r w:rsidRPr="005B004D">
              <w:t>[5.65]</w:t>
            </w:r>
          </w:p>
        </w:tc>
      </w:tr>
      <w:tr w:rsidR="00981FF9" w:rsidRPr="005B004D" w:rsidTr="0029654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rsidR="00981FF9" w:rsidRPr="005B004D" w:rsidRDefault="00981FF9" w:rsidP="0029654D">
            <w:pPr>
              <w:pStyle w:val="TAN"/>
            </w:pPr>
            <w:r w:rsidRPr="005B004D">
              <w:t>NOTE 1:</w:t>
            </w:r>
            <w:r w:rsidRPr="005B004D">
              <w:tab/>
              <w:t>The analysis was done only for the case of operating in-band, non-CA.</w:t>
            </w:r>
          </w:p>
          <w:p w:rsidR="00981FF9" w:rsidRPr="005B004D" w:rsidRDefault="00981FF9" w:rsidP="0029654D">
            <w:pPr>
              <w:pStyle w:val="TAN"/>
            </w:pPr>
            <w:r w:rsidRPr="005B004D">
              <w:t>NOTE 2:</w:t>
            </w:r>
            <w:r w:rsidRPr="005B004D">
              <w:tab/>
              <w:t>In order to obtain the total measurement uncertainty, systematic uncertainties have to be added to the expanded root sum square of the standard deviations of the Stage 1 and Stage 2 contributors.</w:t>
            </w:r>
          </w:p>
          <w:p w:rsidR="00981FF9" w:rsidRPr="005B004D" w:rsidRDefault="00981FF9" w:rsidP="0029654D">
            <w:pPr>
              <w:pStyle w:val="TAN"/>
            </w:pPr>
            <w:r w:rsidRPr="005B004D">
              <w:t>NOTE 3:</w:t>
            </w:r>
            <w:r w:rsidRPr="005B004D">
              <w:tab/>
              <w:t>Applies to the system which has a structure of mechanical feed antenna positioning.</w:t>
            </w:r>
          </w:p>
          <w:p w:rsidR="00981FF9" w:rsidRPr="005B004D" w:rsidRDefault="00981FF9" w:rsidP="0029654D">
            <w:pPr>
              <w:pStyle w:val="TAN"/>
            </w:pPr>
            <w:r w:rsidRPr="005B004D">
              <w:t>NOTE 4:</w:t>
            </w:r>
            <w:r w:rsidRPr="005B004D">
              <w:tab/>
              <w:t>Value based on procedure defined in Annex M of TR 38.521-2 [7] for Quiet Zone size less or equal to 30 cm.</w:t>
            </w:r>
          </w:p>
          <w:p w:rsidR="00981FF9" w:rsidRPr="005B004D" w:rsidRDefault="00981FF9" w:rsidP="0029654D">
            <w:pPr>
              <w:pStyle w:val="TAN"/>
            </w:pPr>
            <w:r w:rsidRPr="005B004D">
              <w:t>NOTE 5:</w:t>
            </w:r>
            <w:r w:rsidRPr="005B004D">
              <w:tab/>
              <w:t>The values in this table have been derived for DL powers above and equal to REFSENS. The values might need to be revisited for power levels below REFSENS</w:t>
            </w:r>
          </w:p>
        </w:tc>
      </w:tr>
    </w:tbl>
    <w:p w:rsidR="00981FF9" w:rsidRDefault="00981FF9" w:rsidP="00D60A07"/>
    <w:p w:rsidR="00981FF9" w:rsidRDefault="00981FF9" w:rsidP="00D60A07">
      <w:r w:rsidRPr="00981FF9">
        <w:rPr>
          <w:b/>
        </w:rPr>
        <w:t xml:space="preserve">Proposal 1: </w:t>
      </w:r>
      <w:r w:rsidRPr="00981FF9">
        <w:t>remove</w:t>
      </w:r>
      <w:r>
        <w:t xml:space="preserve"> the remaining square brackets in E.3.1.3-3 and E.3.1.4-3.</w:t>
      </w:r>
    </w:p>
    <w:p w:rsidR="00981FF9" w:rsidRDefault="00981FF9" w:rsidP="00D60A07">
      <w:r>
        <w:lastRenderedPageBreak/>
        <w:t>Since both values of the DL AWGN absolute power expanded uncertainty for IFF and enhanced IFF are very similar, we propose to follow the same approach as for PC3 and use the value of enhanced IFF (that can be used to cover 1AoA and 2AoA test cases) as Threshold MU for the DL AWGN absolute power for PC1.</w:t>
      </w:r>
    </w:p>
    <w:p w:rsidR="00981FF9" w:rsidRDefault="00981FF9" w:rsidP="00D60A07">
      <w:r w:rsidRPr="00981FF9">
        <w:rPr>
          <w:b/>
        </w:rPr>
        <w:t>Proposal 2:</w:t>
      </w:r>
      <w:r>
        <w:t xml:space="preserve"> use 5.65 dB as the Threshold MU for DL AWGN absolute power for RRM FR2 PC1.</w:t>
      </w:r>
    </w:p>
    <w:p w:rsidR="00E6535F" w:rsidRPr="009709C5" w:rsidRDefault="00E6535F" w:rsidP="00E6535F">
      <w:pPr>
        <w:pStyle w:val="TH"/>
      </w:pPr>
      <w:r w:rsidRPr="009709C5">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610"/>
        <w:gridCol w:w="1613"/>
        <w:gridCol w:w="1608"/>
        <w:gridCol w:w="1608"/>
      </w:tblGrid>
      <w:tr w:rsidR="00E6535F" w:rsidRPr="009709C5" w:rsidTr="0029654D">
        <w:trPr>
          <w:jc w:val="center"/>
        </w:trPr>
        <w:tc>
          <w:tcPr>
            <w:tcW w:w="1000" w:type="pct"/>
            <w:tcBorders>
              <w:top w:val="single" w:sz="4" w:space="0" w:color="auto"/>
              <w:left w:val="single" w:sz="4" w:space="0" w:color="auto"/>
              <w:bottom w:val="single" w:sz="4" w:space="0" w:color="auto"/>
              <w:right w:val="single" w:sz="4" w:space="0" w:color="auto"/>
            </w:tcBorders>
          </w:tcPr>
          <w:p w:rsidR="00E6535F" w:rsidRPr="009709C5" w:rsidRDefault="00E6535F" w:rsidP="0029654D">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rsidR="00E6535F" w:rsidRPr="009709C5" w:rsidRDefault="00E6535F" w:rsidP="0029654D">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rsidR="00E6535F" w:rsidRPr="009709C5" w:rsidRDefault="00E6535F" w:rsidP="0029654D">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rsidR="00E6535F" w:rsidRPr="009709C5" w:rsidRDefault="00E6535F" w:rsidP="0029654D">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rsidR="00E6535F" w:rsidRPr="009709C5" w:rsidRDefault="00E6535F" w:rsidP="0029654D">
            <w:pPr>
              <w:pStyle w:val="TAH"/>
            </w:pPr>
            <w:r w:rsidRPr="009709C5">
              <w:t>Threshold MU value (NOTE 1)</w:t>
            </w:r>
          </w:p>
        </w:tc>
      </w:tr>
      <w:tr w:rsidR="00E6535F" w:rsidRPr="009709C5" w:rsidTr="0029654D">
        <w:trPr>
          <w:jc w:val="center"/>
        </w:trPr>
        <w:tc>
          <w:tcPr>
            <w:tcW w:w="1000" w:type="pct"/>
            <w:vMerge w:val="restart"/>
            <w:tcBorders>
              <w:top w:val="single" w:sz="4" w:space="0" w:color="auto"/>
              <w:left w:val="single" w:sz="4" w:space="0" w:color="auto"/>
              <w:right w:val="single" w:sz="4" w:space="0" w:color="auto"/>
            </w:tcBorders>
          </w:tcPr>
          <w:p w:rsidR="00E6535F" w:rsidRPr="009709C5" w:rsidRDefault="00E6535F" w:rsidP="0029654D">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rsidR="00E6535F" w:rsidRPr="009709C5" w:rsidRDefault="00E6535F" w:rsidP="0029654D">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rsidR="00E6535F" w:rsidRPr="009709C5" w:rsidRDefault="00E6535F" w:rsidP="0029654D">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rsidR="00E6535F" w:rsidRPr="009709C5" w:rsidRDefault="00E6535F" w:rsidP="0029654D">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rsidR="00E6535F" w:rsidRPr="009709C5" w:rsidRDefault="00E6535F" w:rsidP="0029654D">
            <w:pPr>
              <w:pStyle w:val="TAC"/>
              <w:rPr>
                <w:lang w:eastAsia="zh-CN"/>
              </w:rPr>
            </w:pPr>
            <w:r w:rsidRPr="009709C5">
              <w:rPr>
                <w:lang w:eastAsia="zh-CN"/>
              </w:rPr>
              <w:t>5.65 dB</w:t>
            </w:r>
            <w:r w:rsidRPr="009709C5">
              <w:rPr>
                <w:vertAlign w:val="superscript"/>
                <w:lang w:eastAsia="zh-CN"/>
              </w:rPr>
              <w:t>2</w:t>
            </w:r>
          </w:p>
        </w:tc>
      </w:tr>
      <w:tr w:rsidR="00E6535F" w:rsidRPr="009709C5" w:rsidTr="0029654D">
        <w:trPr>
          <w:jc w:val="center"/>
        </w:trPr>
        <w:tc>
          <w:tcPr>
            <w:tcW w:w="1000" w:type="pct"/>
            <w:vMerge/>
            <w:tcBorders>
              <w:left w:val="single" w:sz="4" w:space="0" w:color="auto"/>
              <w:bottom w:val="single" w:sz="4" w:space="0" w:color="auto"/>
              <w:right w:val="single" w:sz="4" w:space="0" w:color="auto"/>
            </w:tcBorders>
          </w:tcPr>
          <w:p w:rsidR="00E6535F" w:rsidRPr="009709C5" w:rsidRDefault="00E6535F" w:rsidP="0029654D">
            <w:pPr>
              <w:pStyle w:val="TAC"/>
            </w:pPr>
          </w:p>
        </w:tc>
        <w:tc>
          <w:tcPr>
            <w:tcW w:w="1000" w:type="pct"/>
            <w:tcBorders>
              <w:top w:val="single" w:sz="4" w:space="0" w:color="auto"/>
              <w:left w:val="single" w:sz="4" w:space="0" w:color="auto"/>
              <w:bottom w:val="single" w:sz="4" w:space="0" w:color="auto"/>
              <w:right w:val="single" w:sz="4" w:space="0" w:color="auto"/>
            </w:tcBorders>
            <w:hideMark/>
          </w:tcPr>
          <w:p w:rsidR="00E6535F" w:rsidRPr="009709C5" w:rsidRDefault="00E6535F" w:rsidP="0029654D">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rsidR="00E6535F" w:rsidRPr="009709C5" w:rsidRDefault="00E6535F" w:rsidP="0029654D">
            <w:pPr>
              <w:pStyle w:val="TAC"/>
            </w:pPr>
          </w:p>
        </w:tc>
        <w:tc>
          <w:tcPr>
            <w:tcW w:w="999" w:type="pct"/>
            <w:tcBorders>
              <w:top w:val="nil"/>
              <w:left w:val="single" w:sz="4" w:space="0" w:color="auto"/>
              <w:bottom w:val="single" w:sz="4" w:space="0" w:color="auto"/>
              <w:right w:val="single" w:sz="4" w:space="0" w:color="auto"/>
            </w:tcBorders>
          </w:tcPr>
          <w:p w:rsidR="00E6535F" w:rsidRPr="009709C5" w:rsidRDefault="00E6535F" w:rsidP="0029654D">
            <w:pPr>
              <w:pStyle w:val="TAC"/>
            </w:pPr>
          </w:p>
        </w:tc>
        <w:tc>
          <w:tcPr>
            <w:tcW w:w="999" w:type="pct"/>
            <w:tcBorders>
              <w:top w:val="single" w:sz="4" w:space="0" w:color="auto"/>
              <w:left w:val="single" w:sz="4" w:space="0" w:color="auto"/>
              <w:bottom w:val="single" w:sz="4" w:space="0" w:color="auto"/>
              <w:right w:val="single" w:sz="4" w:space="0" w:color="auto"/>
            </w:tcBorders>
            <w:hideMark/>
          </w:tcPr>
          <w:p w:rsidR="00E6535F" w:rsidRPr="009709C5" w:rsidRDefault="00E6535F" w:rsidP="0029654D">
            <w:pPr>
              <w:pStyle w:val="TAC"/>
              <w:rPr>
                <w:lang w:eastAsia="zh-CN"/>
              </w:rPr>
            </w:pPr>
            <w:r w:rsidRPr="009709C5">
              <w:rPr>
                <w:lang w:eastAsia="zh-CN"/>
              </w:rPr>
              <w:t>5.65 dB</w:t>
            </w:r>
            <w:r w:rsidRPr="009709C5">
              <w:rPr>
                <w:vertAlign w:val="superscript"/>
                <w:lang w:eastAsia="zh-CN"/>
              </w:rPr>
              <w:t>2</w:t>
            </w:r>
          </w:p>
        </w:tc>
      </w:tr>
      <w:tr w:rsidR="00E6535F" w:rsidRPr="009709C5" w:rsidTr="0029654D">
        <w:trPr>
          <w:jc w:val="center"/>
        </w:trPr>
        <w:tc>
          <w:tcPr>
            <w:tcW w:w="1000" w:type="pct"/>
            <w:vMerge w:val="restart"/>
            <w:tcBorders>
              <w:top w:val="single" w:sz="4" w:space="0" w:color="auto"/>
              <w:left w:val="single" w:sz="4" w:space="0" w:color="auto"/>
              <w:right w:val="single" w:sz="4" w:space="0" w:color="auto"/>
            </w:tcBorders>
          </w:tcPr>
          <w:p w:rsidR="00E6535F" w:rsidRPr="009709C5" w:rsidRDefault="00E6535F" w:rsidP="0029654D">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rsidR="00E6535F" w:rsidRPr="009709C5" w:rsidRDefault="00E6535F" w:rsidP="0029654D">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rsidR="00E6535F" w:rsidRPr="009709C5" w:rsidRDefault="00E6535F" w:rsidP="0029654D">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rsidR="00E6535F" w:rsidRPr="009709C5" w:rsidRDefault="00E6535F" w:rsidP="0029654D">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rsidR="00E6535F" w:rsidRPr="00E6535F" w:rsidRDefault="00E6535F" w:rsidP="0029654D">
            <w:pPr>
              <w:pStyle w:val="TAC"/>
              <w:rPr>
                <w:highlight w:val="yellow"/>
                <w:lang w:eastAsia="zh-CN"/>
              </w:rPr>
            </w:pPr>
            <w:r w:rsidRPr="00E6535F">
              <w:rPr>
                <w:highlight w:val="yellow"/>
                <w:lang w:eastAsia="zh-CN"/>
              </w:rPr>
              <w:t>5.65 dB</w:t>
            </w:r>
          </w:p>
        </w:tc>
      </w:tr>
      <w:tr w:rsidR="00E6535F" w:rsidRPr="009709C5" w:rsidTr="0029654D">
        <w:trPr>
          <w:jc w:val="center"/>
        </w:trPr>
        <w:tc>
          <w:tcPr>
            <w:tcW w:w="1000" w:type="pct"/>
            <w:vMerge/>
            <w:tcBorders>
              <w:left w:val="single" w:sz="4" w:space="0" w:color="auto"/>
              <w:bottom w:val="single" w:sz="4" w:space="0" w:color="auto"/>
              <w:right w:val="single" w:sz="4" w:space="0" w:color="auto"/>
            </w:tcBorders>
          </w:tcPr>
          <w:p w:rsidR="00E6535F" w:rsidRPr="009709C5" w:rsidRDefault="00E6535F" w:rsidP="0029654D">
            <w:pPr>
              <w:pStyle w:val="TAC"/>
            </w:pPr>
          </w:p>
        </w:tc>
        <w:tc>
          <w:tcPr>
            <w:tcW w:w="1000" w:type="pct"/>
            <w:tcBorders>
              <w:top w:val="single" w:sz="4" w:space="0" w:color="auto"/>
              <w:left w:val="single" w:sz="4" w:space="0" w:color="auto"/>
              <w:bottom w:val="single" w:sz="4" w:space="0" w:color="auto"/>
              <w:right w:val="single" w:sz="4" w:space="0" w:color="auto"/>
            </w:tcBorders>
            <w:hideMark/>
          </w:tcPr>
          <w:p w:rsidR="00E6535F" w:rsidRPr="009709C5" w:rsidRDefault="00E6535F" w:rsidP="0029654D">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rsidR="00E6535F" w:rsidRPr="009709C5" w:rsidRDefault="00E6535F" w:rsidP="0029654D">
            <w:pPr>
              <w:pStyle w:val="TAC"/>
            </w:pPr>
          </w:p>
        </w:tc>
        <w:tc>
          <w:tcPr>
            <w:tcW w:w="999" w:type="pct"/>
            <w:tcBorders>
              <w:top w:val="nil"/>
              <w:left w:val="single" w:sz="4" w:space="0" w:color="auto"/>
              <w:bottom w:val="single" w:sz="4" w:space="0" w:color="auto"/>
              <w:right w:val="single" w:sz="4" w:space="0" w:color="auto"/>
            </w:tcBorders>
          </w:tcPr>
          <w:p w:rsidR="00E6535F" w:rsidRPr="009709C5" w:rsidRDefault="00E6535F" w:rsidP="0029654D">
            <w:pPr>
              <w:pStyle w:val="TAC"/>
            </w:pPr>
          </w:p>
        </w:tc>
        <w:tc>
          <w:tcPr>
            <w:tcW w:w="999" w:type="pct"/>
            <w:tcBorders>
              <w:top w:val="single" w:sz="4" w:space="0" w:color="auto"/>
              <w:left w:val="single" w:sz="4" w:space="0" w:color="auto"/>
              <w:bottom w:val="single" w:sz="4" w:space="0" w:color="auto"/>
              <w:right w:val="single" w:sz="4" w:space="0" w:color="auto"/>
            </w:tcBorders>
            <w:hideMark/>
          </w:tcPr>
          <w:p w:rsidR="00E6535F" w:rsidRPr="00E6535F" w:rsidRDefault="00E6535F" w:rsidP="0029654D">
            <w:pPr>
              <w:pStyle w:val="TAC"/>
              <w:rPr>
                <w:highlight w:val="yellow"/>
                <w:lang w:eastAsia="zh-CN"/>
              </w:rPr>
            </w:pPr>
            <w:r w:rsidRPr="00E6535F">
              <w:rPr>
                <w:highlight w:val="yellow"/>
                <w:lang w:eastAsia="zh-CN"/>
              </w:rPr>
              <w:t>5.65 dB</w:t>
            </w:r>
          </w:p>
        </w:tc>
      </w:tr>
      <w:tr w:rsidR="00E6535F" w:rsidRPr="009709C5" w:rsidTr="0029654D">
        <w:trPr>
          <w:jc w:val="center"/>
        </w:trPr>
        <w:tc>
          <w:tcPr>
            <w:tcW w:w="5000" w:type="pct"/>
            <w:gridSpan w:val="5"/>
            <w:tcBorders>
              <w:top w:val="single" w:sz="4" w:space="0" w:color="auto"/>
              <w:left w:val="single" w:sz="4" w:space="0" w:color="auto"/>
              <w:bottom w:val="single" w:sz="4" w:space="0" w:color="auto"/>
              <w:right w:val="single" w:sz="4" w:space="0" w:color="auto"/>
            </w:tcBorders>
          </w:tcPr>
          <w:p w:rsidR="00E6535F" w:rsidRPr="009709C5" w:rsidRDefault="00E6535F" w:rsidP="0029654D">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E.3.1.3-2 for PC3 UEs and Table FFS for PC1 UEs</w:t>
            </w:r>
          </w:p>
          <w:p w:rsidR="00E6535F" w:rsidRPr="009709C5" w:rsidRDefault="00E6535F" w:rsidP="0029654D">
            <w:pPr>
              <w:pStyle w:val="TAN"/>
              <w:tabs>
                <w:tab w:val="left" w:pos="4607"/>
              </w:tabs>
              <w:rPr>
                <w:lang w:eastAsia="zh-CN"/>
              </w:rPr>
            </w:pPr>
            <w:r w:rsidRPr="009709C5">
              <w:t>NOTE 2:</w:t>
            </w:r>
            <w:r w:rsidRPr="009709C5">
              <w:tab/>
              <w:t>If the TT analysis for a specific test case based on this MU value results in an unsolvable conflict, making the test case untestable, even after the alternative solutions listed in clause A.4 have been considered for the test case in TS 38.133 [6] Annex A, the TT analysis shall be repeated using a lower MU value, taking into account the lower values defined in this clause. The test case will be applicable for the subset of the test systems meeting this reduced MU Threshold.</w:t>
            </w:r>
          </w:p>
        </w:tc>
      </w:tr>
    </w:tbl>
    <w:p w:rsidR="00E6535F" w:rsidRPr="00981FF9" w:rsidRDefault="00E6535F" w:rsidP="00D60A07"/>
    <w:p w:rsidR="00861CDE" w:rsidRPr="004F3092" w:rsidRDefault="00861CDE" w:rsidP="00861CDE">
      <w:pPr>
        <w:keepNext/>
        <w:keepLines/>
        <w:pBdr>
          <w:top w:val="single" w:sz="12" w:space="3" w:color="auto"/>
        </w:pBdr>
        <w:spacing w:before="240" w:after="180" w:line="240" w:lineRule="auto"/>
        <w:outlineLvl w:val="0"/>
        <w:rPr>
          <w:rFonts w:ascii="Arial" w:eastAsia="Malgun Gothic" w:hAnsi="Arial" w:cs="Times New Roman"/>
          <w:sz w:val="36"/>
        </w:rPr>
      </w:pPr>
      <w:r w:rsidRPr="004F3092">
        <w:rPr>
          <w:rFonts w:ascii="Arial" w:eastAsia="Malgun Gothic" w:hAnsi="Arial" w:cs="Times New Roman"/>
          <w:sz w:val="36"/>
        </w:rPr>
        <w:t>Conclusion</w:t>
      </w:r>
    </w:p>
    <w:p w:rsidR="00E6535F" w:rsidRDefault="00E6535F" w:rsidP="00E6535F">
      <w:r w:rsidRPr="00981FF9">
        <w:rPr>
          <w:b/>
        </w:rPr>
        <w:t xml:space="preserve">Proposal 1: </w:t>
      </w:r>
      <w:r w:rsidRPr="00981FF9">
        <w:t>remove</w:t>
      </w:r>
      <w:r>
        <w:t xml:space="preserve"> the remaining square brackets in E.3.1.3-3 and E.3.1.4-3.</w:t>
      </w:r>
    </w:p>
    <w:p w:rsidR="00E6535F" w:rsidRDefault="00E6535F" w:rsidP="00E6535F">
      <w:r w:rsidRPr="00981FF9">
        <w:rPr>
          <w:b/>
        </w:rPr>
        <w:t>Proposal 2:</w:t>
      </w:r>
      <w:r>
        <w:t xml:space="preserve"> use 5.65 dB as the Threshold MU for DL AWGN absolute power for RRM FR2 PC1.</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References</w:t>
      </w:r>
    </w:p>
    <w:p w:rsidR="001A530E" w:rsidRPr="00D60A07" w:rsidRDefault="00463760" w:rsidP="001A530E">
      <w:pPr>
        <w:numPr>
          <w:ilvl w:val="0"/>
          <w:numId w:val="30"/>
        </w:numPr>
        <w:tabs>
          <w:tab w:val="left" w:pos="426"/>
        </w:tabs>
        <w:overflowPunct w:val="0"/>
        <w:autoSpaceDE w:val="0"/>
        <w:autoSpaceDN w:val="0"/>
        <w:adjustRightInd w:val="0"/>
        <w:spacing w:after="180" w:line="240" w:lineRule="auto"/>
        <w:textAlignment w:val="baseline"/>
      </w:pPr>
      <w:r>
        <w:t>TR 38.903</w:t>
      </w:r>
      <w:r w:rsidR="004F3092" w:rsidRPr="004F3092">
        <w:t>, “</w:t>
      </w:r>
      <w:r w:rsidRPr="00463760">
        <w:rPr>
          <w:rFonts w:ascii="Arial" w:hAnsi="Arial"/>
        </w:rPr>
        <w:t>Derivation of test tolerances and measurement uncertainty for User Equipment (UE) conformance test cases</w:t>
      </w:r>
      <w:r w:rsidR="004F3092" w:rsidRPr="004F3092">
        <w:rPr>
          <w:rFonts w:ascii="Arial" w:hAnsi="Arial"/>
        </w:rPr>
        <w:t>”</w:t>
      </w:r>
    </w:p>
    <w:p w:rsidR="00D60A07" w:rsidRDefault="00D60A07" w:rsidP="001A530E">
      <w:pPr>
        <w:numPr>
          <w:ilvl w:val="0"/>
          <w:numId w:val="30"/>
        </w:numPr>
        <w:tabs>
          <w:tab w:val="left" w:pos="426"/>
        </w:tabs>
        <w:overflowPunct w:val="0"/>
        <w:autoSpaceDE w:val="0"/>
        <w:autoSpaceDN w:val="0"/>
        <w:adjustRightInd w:val="0"/>
        <w:spacing w:after="180" w:line="240" w:lineRule="auto"/>
        <w:textAlignment w:val="baseline"/>
      </w:pPr>
      <w:r>
        <w:t>R5-226491, “</w:t>
      </w:r>
      <w:r w:rsidRPr="00D60A07">
        <w:t>On the MU for FR2 PC1 RRM</w:t>
      </w:r>
      <w:r>
        <w:t>”, Rohde &amp; Schwarz</w:t>
      </w:r>
    </w:p>
    <w:p w:rsidR="00861CDE" w:rsidRPr="001B5DBC" w:rsidRDefault="00861CDE" w:rsidP="001B5DBC"/>
    <w:sectPr w:rsidR="00861CDE" w:rsidRPr="001B5DBC" w:rsidSect="002E4218">
      <w:headerReference w:type="even" r:id="rId8"/>
      <w:headerReference w:type="default" r:id="rId9"/>
      <w:footerReference w:type="even" r:id="rId10"/>
      <w:footerReference w:type="default" r:id="rId11"/>
      <w:headerReference w:type="first" r:id="rId12"/>
      <w:footerReference w:type="first" r:id="rId13"/>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1" w:rsidRDefault="00107E81" w:rsidP="007D0431">
      <w:pPr>
        <w:spacing w:after="0" w:line="240" w:lineRule="auto"/>
      </w:pPr>
      <w:r>
        <w:separator/>
      </w:r>
    </w:p>
  </w:endnote>
  <w:endnote w:type="continuationSeparator" w:id="0">
    <w:p w:rsidR="00107E81" w:rsidRDefault="00107E81"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S Mincho"/>
    <w:panose1 w:val="020B0604020202020204"/>
    <w:charset w:val="80"/>
    <w:family w:val="modern"/>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FC7" w:rsidRDefault="00C00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FC7" w:rsidRDefault="00C00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FC7" w:rsidRDefault="00C00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1" w:rsidRDefault="00107E81" w:rsidP="007D0431">
      <w:pPr>
        <w:spacing w:after="0" w:line="240" w:lineRule="auto"/>
      </w:pPr>
      <w:r>
        <w:separator/>
      </w:r>
    </w:p>
  </w:footnote>
  <w:footnote w:type="continuationSeparator" w:id="0">
    <w:p w:rsidR="00107E81" w:rsidRDefault="00107E81" w:rsidP="007D04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FC7" w:rsidRDefault="00C00FC7">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430205119"/>
                          </w:sdtPr>
                          <w:sdtEndPr>
                            <w:rPr>
                              <w:rStyle w:val="DefaultParagraphFont"/>
                              <w:rFonts w:eastAsiaTheme="minorHAnsi"/>
                              <w:b w:val="0"/>
                              <w:bCs w:val="0"/>
                              <w:caps w:val="0"/>
                              <w:color w:val="auto"/>
                              <w:spacing w:val="0"/>
                              <w:lang w:val="fr-CH"/>
                            </w:rPr>
                          </w:sdtEndPr>
                          <w:sdtContent>
                            <w:p w:rsidR="00C00FC7" w:rsidRPr="00A11327" w:rsidRDefault="00C00FC7"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tag w:val="RS_Classification_Standard"/>
                      <w:id w:val="-430205119"/>
                    </w:sdtPr>
                    <w:sdtEndPr>
                      <w:rPr>
                        <w:rStyle w:val="DefaultParagraphFont"/>
                        <w:rFonts w:eastAsiaTheme="minorHAnsi"/>
                        <w:b w:val="0"/>
                        <w:bCs w:val="0"/>
                        <w:caps w:val="0"/>
                        <w:color w:val="auto"/>
                        <w:spacing w:val="0"/>
                        <w:lang w:val="fr-CH"/>
                      </w:rPr>
                    </w:sdtEndPr>
                    <w:sdtContent>
                      <w:p w:rsidR="00C00FC7" w:rsidRPr="00A11327" w:rsidRDefault="00C00FC7"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FC7" w:rsidRDefault="00C00FC7">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rsidR="00C00FC7" w:rsidRPr="00A11327" w:rsidRDefault="00C00FC7"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rsidR="00C00FC7" w:rsidRPr="00A11327" w:rsidRDefault="00C00FC7"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FC7" w:rsidRDefault="00C00FC7">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183092844"/>
                          </w:sdtPr>
                          <w:sdtEndPr>
                            <w:rPr>
                              <w:rStyle w:val="DefaultParagraphFont"/>
                              <w:rFonts w:eastAsiaTheme="minorHAnsi"/>
                              <w:b w:val="0"/>
                              <w:bCs w:val="0"/>
                              <w:caps w:val="0"/>
                              <w:color w:val="auto"/>
                              <w:spacing w:val="0"/>
                              <w:lang w:val="fr-CH"/>
                            </w:rPr>
                          </w:sdtEndPr>
                          <w:sdtContent>
                            <w:p w:rsidR="00C00FC7" w:rsidRPr="00A11327" w:rsidRDefault="00C00FC7"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tag w:val="RS_Classification_Standard"/>
                      <w:id w:val="1183092844"/>
                    </w:sdtPr>
                    <w:sdtEndPr>
                      <w:rPr>
                        <w:rStyle w:val="DefaultParagraphFont"/>
                        <w:rFonts w:eastAsiaTheme="minorHAnsi"/>
                        <w:b w:val="0"/>
                        <w:bCs w:val="0"/>
                        <w:caps w:val="0"/>
                        <w:color w:val="auto"/>
                        <w:spacing w:val="0"/>
                        <w:lang w:val="fr-CH"/>
                      </w:rPr>
                    </w:sdtEndPr>
                    <w:sdtContent>
                      <w:p w:rsidR="00C00FC7" w:rsidRPr="00A11327" w:rsidRDefault="00C00FC7"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BEE1D88"/>
    <w:multiLevelType w:val="hybridMultilevel"/>
    <w:tmpl w:val="37E01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8441C"/>
    <w:multiLevelType w:val="multilevel"/>
    <w:tmpl w:val="1B04B730"/>
    <w:numStyleLink w:val="RSBullets"/>
  </w:abstractNum>
  <w:abstractNum w:abstractNumId="9"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0" w15:restartNumberingAfterBreak="0">
    <w:nsid w:val="2D2806D7"/>
    <w:multiLevelType w:val="multilevel"/>
    <w:tmpl w:val="1B04B730"/>
    <w:numStyleLink w:val="RSBullets"/>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64A6D1D"/>
    <w:multiLevelType w:val="multilevel"/>
    <w:tmpl w:val="1B04B730"/>
    <w:numStyleLink w:val="RSBullets"/>
  </w:abstractNum>
  <w:abstractNum w:abstractNumId="14" w15:restartNumberingAfterBreak="0">
    <w:nsid w:val="3A29703A"/>
    <w:multiLevelType w:val="multilevel"/>
    <w:tmpl w:val="760620C0"/>
    <w:numStyleLink w:val="1ai"/>
  </w:abstractNum>
  <w:abstractNum w:abstractNumId="15"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6" w15:restartNumberingAfterBreak="0">
    <w:nsid w:val="3E9D5BE6"/>
    <w:multiLevelType w:val="multilevel"/>
    <w:tmpl w:val="1B04B730"/>
    <w:numStyleLink w:val="RSBullets"/>
  </w:abstractNum>
  <w:abstractNum w:abstractNumId="17" w15:restartNumberingAfterBreak="0">
    <w:nsid w:val="406C2E72"/>
    <w:multiLevelType w:val="multilevel"/>
    <w:tmpl w:val="1B04B730"/>
    <w:numStyleLink w:val="RSBullets"/>
  </w:abstractNum>
  <w:abstractNum w:abstractNumId="18" w15:restartNumberingAfterBreak="0">
    <w:nsid w:val="43392F8D"/>
    <w:multiLevelType w:val="multilevel"/>
    <w:tmpl w:val="16ECC3E0"/>
    <w:numStyleLink w:val="111111"/>
  </w:abstractNum>
  <w:abstractNum w:abstractNumId="19" w15:restartNumberingAfterBreak="0">
    <w:nsid w:val="48D714EE"/>
    <w:multiLevelType w:val="multilevel"/>
    <w:tmpl w:val="1B04B730"/>
    <w:numStyleLink w:val="RSBullets"/>
  </w:abstractNum>
  <w:abstractNum w:abstractNumId="2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3"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C31123"/>
    <w:multiLevelType w:val="multilevel"/>
    <w:tmpl w:val="1B04B730"/>
    <w:numStyleLink w:val="RSBullets"/>
  </w:abstractNum>
  <w:abstractNum w:abstractNumId="25"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A56C02"/>
    <w:multiLevelType w:val="multilevel"/>
    <w:tmpl w:val="760620C0"/>
    <w:numStyleLink w:val="1ai"/>
  </w:abstractNum>
  <w:abstractNum w:abstractNumId="27" w15:restartNumberingAfterBreak="0">
    <w:nsid w:val="65BC23B4"/>
    <w:multiLevelType w:val="multilevel"/>
    <w:tmpl w:val="1B04B730"/>
    <w:numStyleLink w:val="RSBullets"/>
  </w:abstractNum>
  <w:num w:numId="1">
    <w:abstractNumId w:val="9"/>
  </w:num>
  <w:num w:numId="2">
    <w:abstractNumId w:val="20"/>
  </w:num>
  <w:num w:numId="3">
    <w:abstractNumId w:val="15"/>
  </w:num>
  <w:num w:numId="4">
    <w:abstractNumId w:val="12"/>
  </w:num>
  <w:num w:numId="5">
    <w:abstractNumId w:val="6"/>
  </w:num>
  <w:num w:numId="6">
    <w:abstractNumId w:val="4"/>
  </w:num>
  <w:num w:numId="7">
    <w:abstractNumId w:val="13"/>
  </w:num>
  <w:num w:numId="8">
    <w:abstractNumId w:val="22"/>
  </w:num>
  <w:num w:numId="9">
    <w:abstractNumId w:val="23"/>
  </w:num>
  <w:num w:numId="10">
    <w:abstractNumId w:val="3"/>
  </w:num>
  <w:num w:numId="11">
    <w:abstractNumId w:val="8"/>
  </w:num>
  <w:num w:numId="12">
    <w:abstractNumId w:val="10"/>
  </w:num>
  <w:num w:numId="13">
    <w:abstractNumId w:val="16"/>
  </w:num>
  <w:num w:numId="14">
    <w:abstractNumId w:val="19"/>
  </w:num>
  <w:num w:numId="15">
    <w:abstractNumId w:val="17"/>
  </w:num>
  <w:num w:numId="16">
    <w:abstractNumId w:val="25"/>
  </w:num>
  <w:num w:numId="17">
    <w:abstractNumId w:val="24"/>
  </w:num>
  <w:num w:numId="18">
    <w:abstractNumId w:val="27"/>
  </w:num>
  <w:num w:numId="19">
    <w:abstractNumId w:val="11"/>
  </w:num>
  <w:num w:numId="20">
    <w:abstractNumId w:val="14"/>
  </w:num>
  <w:num w:numId="21">
    <w:abstractNumId w:val="5"/>
  </w:num>
  <w:num w:numId="22">
    <w:abstractNumId w:val="5"/>
  </w:num>
  <w:num w:numId="23">
    <w:abstractNumId w:val="5"/>
  </w:num>
  <w:num w:numId="24">
    <w:abstractNumId w:val="0"/>
  </w:num>
  <w:num w:numId="25">
    <w:abstractNumId w:val="18"/>
  </w:num>
  <w:num w:numId="26">
    <w:abstractNumId w:val="21"/>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
  </w:num>
  <w:num w:numId="3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09"/>
    <w:rsid w:val="00063F79"/>
    <w:rsid w:val="00065E5F"/>
    <w:rsid w:val="00085B3E"/>
    <w:rsid w:val="00093490"/>
    <w:rsid w:val="00094F4E"/>
    <w:rsid w:val="000A023B"/>
    <w:rsid w:val="000A69EA"/>
    <w:rsid w:val="000E35A6"/>
    <w:rsid w:val="00107E81"/>
    <w:rsid w:val="0012030E"/>
    <w:rsid w:val="001233D7"/>
    <w:rsid w:val="0012408E"/>
    <w:rsid w:val="00132A51"/>
    <w:rsid w:val="001434ED"/>
    <w:rsid w:val="001459FA"/>
    <w:rsid w:val="001772E2"/>
    <w:rsid w:val="00181DF3"/>
    <w:rsid w:val="00182481"/>
    <w:rsid w:val="0019653E"/>
    <w:rsid w:val="001A2DC0"/>
    <w:rsid w:val="001A2DCE"/>
    <w:rsid w:val="001A530E"/>
    <w:rsid w:val="001B3943"/>
    <w:rsid w:val="001B5DBC"/>
    <w:rsid w:val="001E1A3A"/>
    <w:rsid w:val="001E68B1"/>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82536"/>
    <w:rsid w:val="00297B6F"/>
    <w:rsid w:val="002A0A87"/>
    <w:rsid w:val="002A61A0"/>
    <w:rsid w:val="002D1F9B"/>
    <w:rsid w:val="002E11AB"/>
    <w:rsid w:val="002E4218"/>
    <w:rsid w:val="00307F96"/>
    <w:rsid w:val="00320D57"/>
    <w:rsid w:val="00321CD7"/>
    <w:rsid w:val="0032523E"/>
    <w:rsid w:val="00325AF9"/>
    <w:rsid w:val="00337439"/>
    <w:rsid w:val="003563D4"/>
    <w:rsid w:val="00356822"/>
    <w:rsid w:val="00356FB2"/>
    <w:rsid w:val="0036182E"/>
    <w:rsid w:val="00363881"/>
    <w:rsid w:val="003666EB"/>
    <w:rsid w:val="00390B32"/>
    <w:rsid w:val="003A50BA"/>
    <w:rsid w:val="003A7FAA"/>
    <w:rsid w:val="003B3C34"/>
    <w:rsid w:val="003C7723"/>
    <w:rsid w:val="003D68E5"/>
    <w:rsid w:val="003E7BA2"/>
    <w:rsid w:val="003F4EC7"/>
    <w:rsid w:val="0042429B"/>
    <w:rsid w:val="00463760"/>
    <w:rsid w:val="00463D89"/>
    <w:rsid w:val="00465C54"/>
    <w:rsid w:val="004B14CB"/>
    <w:rsid w:val="004E7E35"/>
    <w:rsid w:val="004F1C5B"/>
    <w:rsid w:val="004F3092"/>
    <w:rsid w:val="004F4DD4"/>
    <w:rsid w:val="00500BA1"/>
    <w:rsid w:val="00503116"/>
    <w:rsid w:val="00520C26"/>
    <w:rsid w:val="00521709"/>
    <w:rsid w:val="00532390"/>
    <w:rsid w:val="00534070"/>
    <w:rsid w:val="0054297B"/>
    <w:rsid w:val="005433BF"/>
    <w:rsid w:val="00554991"/>
    <w:rsid w:val="0059369C"/>
    <w:rsid w:val="00594E12"/>
    <w:rsid w:val="005C77D0"/>
    <w:rsid w:val="005D51A4"/>
    <w:rsid w:val="005E286D"/>
    <w:rsid w:val="00604534"/>
    <w:rsid w:val="00630DB5"/>
    <w:rsid w:val="0064067F"/>
    <w:rsid w:val="00694C17"/>
    <w:rsid w:val="006B59CE"/>
    <w:rsid w:val="006D5DE8"/>
    <w:rsid w:val="006E65A4"/>
    <w:rsid w:val="006E77C0"/>
    <w:rsid w:val="007054F4"/>
    <w:rsid w:val="007366B5"/>
    <w:rsid w:val="007468E6"/>
    <w:rsid w:val="00757E33"/>
    <w:rsid w:val="00781E78"/>
    <w:rsid w:val="007A552B"/>
    <w:rsid w:val="007B5F72"/>
    <w:rsid w:val="007C5A1B"/>
    <w:rsid w:val="007D0431"/>
    <w:rsid w:val="007E3502"/>
    <w:rsid w:val="007E4F6F"/>
    <w:rsid w:val="007F7350"/>
    <w:rsid w:val="00806F61"/>
    <w:rsid w:val="00811938"/>
    <w:rsid w:val="00816E81"/>
    <w:rsid w:val="00861CDE"/>
    <w:rsid w:val="008922BC"/>
    <w:rsid w:val="008C1B71"/>
    <w:rsid w:val="008D3C8A"/>
    <w:rsid w:val="008E1D01"/>
    <w:rsid w:val="008E436F"/>
    <w:rsid w:val="008E7B7D"/>
    <w:rsid w:val="00900940"/>
    <w:rsid w:val="00910F48"/>
    <w:rsid w:val="00915BD2"/>
    <w:rsid w:val="009213E6"/>
    <w:rsid w:val="00927983"/>
    <w:rsid w:val="0094562B"/>
    <w:rsid w:val="00950F4E"/>
    <w:rsid w:val="00962C49"/>
    <w:rsid w:val="00962D07"/>
    <w:rsid w:val="00981FF9"/>
    <w:rsid w:val="0099541E"/>
    <w:rsid w:val="009A286F"/>
    <w:rsid w:val="009A7252"/>
    <w:rsid w:val="00A03CA0"/>
    <w:rsid w:val="00A206B5"/>
    <w:rsid w:val="00A31A63"/>
    <w:rsid w:val="00A5355C"/>
    <w:rsid w:val="00A739E6"/>
    <w:rsid w:val="00A87D1C"/>
    <w:rsid w:val="00A91B46"/>
    <w:rsid w:val="00AB25C6"/>
    <w:rsid w:val="00AC12C8"/>
    <w:rsid w:val="00AD0725"/>
    <w:rsid w:val="00AD11AA"/>
    <w:rsid w:val="00AD3F9B"/>
    <w:rsid w:val="00AE0B49"/>
    <w:rsid w:val="00B1733E"/>
    <w:rsid w:val="00B3318B"/>
    <w:rsid w:val="00B34260"/>
    <w:rsid w:val="00B623F6"/>
    <w:rsid w:val="00B80285"/>
    <w:rsid w:val="00B94D6B"/>
    <w:rsid w:val="00BA08A1"/>
    <w:rsid w:val="00BB2BD9"/>
    <w:rsid w:val="00BE07D9"/>
    <w:rsid w:val="00BE46B9"/>
    <w:rsid w:val="00BE7460"/>
    <w:rsid w:val="00BF4658"/>
    <w:rsid w:val="00C00FC7"/>
    <w:rsid w:val="00C154F0"/>
    <w:rsid w:val="00C1647C"/>
    <w:rsid w:val="00C30D53"/>
    <w:rsid w:val="00C314CC"/>
    <w:rsid w:val="00C33B71"/>
    <w:rsid w:val="00C34351"/>
    <w:rsid w:val="00C36D6F"/>
    <w:rsid w:val="00C40172"/>
    <w:rsid w:val="00C405F7"/>
    <w:rsid w:val="00C601F9"/>
    <w:rsid w:val="00C63CB3"/>
    <w:rsid w:val="00C746EF"/>
    <w:rsid w:val="00C763E9"/>
    <w:rsid w:val="00C910F3"/>
    <w:rsid w:val="00C976AE"/>
    <w:rsid w:val="00CC6AF4"/>
    <w:rsid w:val="00CF1C34"/>
    <w:rsid w:val="00D054DD"/>
    <w:rsid w:val="00D2660B"/>
    <w:rsid w:val="00D31632"/>
    <w:rsid w:val="00D4734E"/>
    <w:rsid w:val="00D60A07"/>
    <w:rsid w:val="00D73A81"/>
    <w:rsid w:val="00D73B9E"/>
    <w:rsid w:val="00D86161"/>
    <w:rsid w:val="00D90EBF"/>
    <w:rsid w:val="00D94F1C"/>
    <w:rsid w:val="00DB0E64"/>
    <w:rsid w:val="00DD6721"/>
    <w:rsid w:val="00DE55BE"/>
    <w:rsid w:val="00E02069"/>
    <w:rsid w:val="00E032D7"/>
    <w:rsid w:val="00E07844"/>
    <w:rsid w:val="00E16837"/>
    <w:rsid w:val="00E32F3C"/>
    <w:rsid w:val="00E42BC3"/>
    <w:rsid w:val="00E6535F"/>
    <w:rsid w:val="00E74F38"/>
    <w:rsid w:val="00E82662"/>
    <w:rsid w:val="00E918F7"/>
    <w:rsid w:val="00E930FE"/>
    <w:rsid w:val="00EA62F3"/>
    <w:rsid w:val="00EB0D37"/>
    <w:rsid w:val="00EB26C6"/>
    <w:rsid w:val="00EE2244"/>
    <w:rsid w:val="00EE399B"/>
    <w:rsid w:val="00F107B8"/>
    <w:rsid w:val="00F32E03"/>
    <w:rsid w:val="00F46CD0"/>
    <w:rsid w:val="00F525C4"/>
    <w:rsid w:val="00F7627A"/>
    <w:rsid w:val="00F77D6D"/>
    <w:rsid w:val="00F9104F"/>
    <w:rsid w:val="00FA000F"/>
    <w:rsid w:val="00FA1760"/>
    <w:rsid w:val="00FA1BA3"/>
    <w:rsid w:val="00FA769B"/>
    <w:rsid w:val="00FB171B"/>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8CE3EC"/>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535F"/>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1">
    <w:name w:val="Hashtag1"/>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L">
    <w:name w:val="TAL"/>
    <w:basedOn w:val="Normal"/>
    <w:link w:val="TALChar"/>
    <w:rsid w:val="004F3092"/>
    <w:pPr>
      <w:keepNext/>
      <w:keepLines/>
      <w:overflowPunct w:val="0"/>
      <w:autoSpaceDE w:val="0"/>
      <w:autoSpaceDN w:val="0"/>
      <w:adjustRightInd w:val="0"/>
      <w:spacing w:after="0" w:line="240" w:lineRule="auto"/>
      <w:textAlignment w:val="baseline"/>
    </w:pPr>
    <w:rPr>
      <w:rFonts w:ascii="Arial" w:eastAsia="MS Mincho" w:hAnsi="Arial" w:cs="Times New Roman"/>
      <w:sz w:val="18"/>
      <w:lang w:val="en-GB"/>
    </w:rPr>
  </w:style>
  <w:style w:type="paragraph" w:customStyle="1" w:styleId="TAH">
    <w:name w:val="TAH"/>
    <w:basedOn w:val="TAC"/>
    <w:link w:val="TAHCar"/>
    <w:rsid w:val="004F3092"/>
    <w:rPr>
      <w:b/>
    </w:rPr>
  </w:style>
  <w:style w:type="paragraph" w:customStyle="1" w:styleId="TAC">
    <w:name w:val="TAC"/>
    <w:basedOn w:val="TAL"/>
    <w:link w:val="TACChar"/>
    <w:rsid w:val="004F3092"/>
    <w:pPr>
      <w:jc w:val="center"/>
    </w:pPr>
  </w:style>
  <w:style w:type="character" w:customStyle="1" w:styleId="TAHCar">
    <w:name w:val="TAH Car"/>
    <w:link w:val="TAH"/>
    <w:qFormat/>
    <w:rsid w:val="004F3092"/>
    <w:rPr>
      <w:rFonts w:ascii="Arial" w:eastAsia="MS Mincho" w:hAnsi="Arial" w:cs="Times New Roman"/>
      <w:b/>
      <w:sz w:val="18"/>
      <w:lang w:val="en-GB"/>
    </w:rPr>
  </w:style>
  <w:style w:type="paragraph" w:customStyle="1" w:styleId="TH">
    <w:name w:val="TH"/>
    <w:basedOn w:val="Normal"/>
    <w:link w:val="THChar"/>
    <w:qFormat/>
    <w:rsid w:val="004F30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en-GB"/>
    </w:rPr>
  </w:style>
  <w:style w:type="paragraph" w:customStyle="1" w:styleId="TF">
    <w:name w:val="TF"/>
    <w:aliases w:val="left"/>
    <w:basedOn w:val="TH"/>
    <w:link w:val="TFChar"/>
    <w:rsid w:val="004F3092"/>
    <w:pPr>
      <w:keepNext w:val="0"/>
      <w:spacing w:before="0" w:after="240"/>
    </w:pPr>
  </w:style>
  <w:style w:type="character" w:customStyle="1" w:styleId="THChar">
    <w:name w:val="TH Char"/>
    <w:link w:val="TH"/>
    <w:qFormat/>
    <w:rsid w:val="004F3092"/>
    <w:rPr>
      <w:rFonts w:ascii="Arial" w:eastAsia="Times New Roman" w:hAnsi="Arial" w:cs="Times New Roman"/>
      <w:b/>
      <w:lang w:val="en-GB"/>
    </w:rPr>
  </w:style>
  <w:style w:type="character" w:customStyle="1" w:styleId="TFChar">
    <w:name w:val="TF Char"/>
    <w:link w:val="TF"/>
    <w:qFormat/>
    <w:rsid w:val="004F3092"/>
    <w:rPr>
      <w:rFonts w:ascii="Arial" w:eastAsia="Times New Roman" w:hAnsi="Arial" w:cs="Times New Roman"/>
      <w:b/>
      <w:lang w:val="en-GB"/>
    </w:rPr>
  </w:style>
  <w:style w:type="paragraph" w:customStyle="1" w:styleId="TAN">
    <w:name w:val="TAN"/>
    <w:basedOn w:val="TAL"/>
    <w:link w:val="TANChar"/>
    <w:rsid w:val="00463760"/>
    <w:pPr>
      <w:ind w:left="851" w:hanging="851"/>
    </w:pPr>
    <w:rPr>
      <w:rFonts w:eastAsia="Times New Roman"/>
      <w:lang w:eastAsia="en-GB"/>
    </w:rPr>
  </w:style>
  <w:style w:type="character" w:customStyle="1" w:styleId="TALChar">
    <w:name w:val="TAL Char"/>
    <w:link w:val="TAL"/>
    <w:qFormat/>
    <w:rsid w:val="00463760"/>
    <w:rPr>
      <w:rFonts w:ascii="Arial" w:eastAsia="MS Mincho" w:hAnsi="Arial" w:cs="Times New Roman"/>
      <w:sz w:val="18"/>
      <w:lang w:val="en-GB"/>
    </w:rPr>
  </w:style>
  <w:style w:type="character" w:customStyle="1" w:styleId="TACChar">
    <w:name w:val="TAC Char"/>
    <w:link w:val="TAC"/>
    <w:qFormat/>
    <w:rsid w:val="00463760"/>
    <w:rPr>
      <w:rFonts w:ascii="Arial" w:eastAsia="MS Mincho" w:hAnsi="Arial" w:cs="Times New Roman"/>
      <w:sz w:val="18"/>
      <w:lang w:val="en-GB"/>
    </w:rPr>
  </w:style>
  <w:style w:type="character" w:customStyle="1" w:styleId="TANChar">
    <w:name w:val="TAN Char"/>
    <w:link w:val="TAN"/>
    <w:qFormat/>
    <w:rsid w:val="00463760"/>
    <w:rPr>
      <w:rFonts w:ascii="Arial" w:eastAsia="Times New Roman" w:hAnsi="Arial" w:cs="Times New Roman"/>
      <w:sz w:val="18"/>
      <w:lang w:val="en-GB" w:eastAsia="en-GB"/>
    </w:rPr>
  </w:style>
  <w:style w:type="character" w:customStyle="1" w:styleId="NoSpacingChar">
    <w:name w:val="No Spacing Char"/>
    <w:basedOn w:val="DefaultParagraphFont"/>
    <w:link w:val="NoSpacing"/>
    <w:uiPriority w:val="1"/>
    <w:rsid w:val="00C00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95478036">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4615806">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0F7B9FBE-B3E6-478E-8573-E55C3FA4D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1260</Words>
  <Characters>7185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Cardalda-Garcia Adrian 1CD2</cp:lastModifiedBy>
  <cp:revision>6</cp:revision>
  <cp:lastPrinted>2015-11-10T12:30:00Z</cp:lastPrinted>
  <dcterms:created xsi:type="dcterms:W3CDTF">2023-01-27T13:59:00Z</dcterms:created>
  <dcterms:modified xsi:type="dcterms:W3CDTF">2023-02-17T07:14:00Z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2022-10-21T13:37:42Z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6240c36e-660e-46e8-8e20-e5e13489ea30</vt:lpwstr>
  </property>
  <property fmtid="{D5CDD505-2E9C-101B-9397-08002B2CF9AE}" pid="8" name="MSIP_Label_9764cdcd-3664-4d05-9615-7cbf65a4f0a8_ContentBits">
    <vt:lpwstr>0</vt:lpwstr>
  </property>
</Properties>
</file>